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500" w:rsidRDefault="003A5500" w:rsidP="003A5500">
      <w:pPr>
        <w:pStyle w:val="1"/>
        <w:shd w:val="clear" w:color="auto" w:fill="FFFFFF" w:themeFill="background1"/>
        <w:spacing w:before="0" w:beforeAutospacing="0" w:after="240" w:afterAutospacing="0"/>
        <w:textAlignment w:val="baseline"/>
        <w:rPr>
          <w:rFonts w:ascii="Arial" w:hAnsi="Arial" w:cs="Arial"/>
          <w:b w:val="0"/>
          <w:bCs w:val="0"/>
          <w:color w:val="000000"/>
          <w:sz w:val="43"/>
          <w:szCs w:val="43"/>
        </w:rPr>
      </w:pPr>
      <w:r>
        <w:rPr>
          <w:rFonts w:ascii="Arial" w:hAnsi="Arial" w:cs="Arial"/>
          <w:b w:val="0"/>
          <w:bCs w:val="0"/>
          <w:color w:val="000000"/>
          <w:sz w:val="43"/>
          <w:szCs w:val="43"/>
        </w:rPr>
        <w:t>Сведения о средствах обучения и воспитания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 ДОУ имеются следующие средства обучения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:</w:t>
      </w:r>
      <w:proofErr w:type="gramEnd"/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печатные (учебники и учебные пособия, книги для чтения, хрестоматии, рабочие тетради, раздаточный материал и т.д.);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электронные образовательные ресурсы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( </w:t>
      </w:r>
      <w:proofErr w:type="gramEnd"/>
      <w:r>
        <w:rPr>
          <w:rFonts w:ascii="Arial" w:hAnsi="Arial" w:cs="Arial"/>
          <w:color w:val="000000"/>
          <w:sz w:val="18"/>
          <w:szCs w:val="18"/>
        </w:rPr>
        <w:t>образовательные мультимедиа ресурсы, сетевые образовательные ресурсы, аудиоматериалы и анимационные сюжеты УМК по обучению детей татарскому языку);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аудиовизуальные (презентации, видеофильмы образовательные, учебные кинофильмы, учебные фильмы на цифровых носителях;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наглядные плоскостные (плакаты, иллюстрации настенные, магнитные доски);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демонстрационные (муляжи, макеты, стенды);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учебные приборы (компас, барометр, микроскоп, колбы, увеличительные стекла, песочные часы,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осадкомер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 снегомер, солнечные часы, ветряной рукав, флюгер и т.д.);</w:t>
      </w:r>
      <w:proofErr w:type="gramEnd"/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тренажёры и спортивное оборудование (гимнастические скамейки, спортивные снаряды, мячи, обручи  и т.п.).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Предметно-развивающая среда создана с учетом интеграции образовательных областей. Материалы и оборудование могут использоваться и в ходе реализации других областей. Подбор средств обучения и воспитания осуществляется для тех видов детской деятельности (игровая, продуктивная, познавательно-исследовательская, коммуникативная, трудовая, музыкально-художественная деятельности, восприятие художественной литературы), которые в наибольшей степени способствуют решению развивающих задач на уровне дошкольного образования, а также с целью активизации двигательной активности ребенка. 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Оборудование отвечает санитарно-эпидемиологическим нормам, гигиеническим, педагогическим и эстетическим требованиям.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Для всестороннего развития детей в каждой возрастной группе имеются дидактические средства: альбомы, художественная литература, дидактические игры, различные сюжетные игровые наборы и игрушки.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Специально оборудованная развивающая среда создана во всех группах детского сада. Изолированные тематические уголки и центры: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игровая</w:t>
      </w:r>
      <w:proofErr w:type="gramEnd"/>
      <w:r>
        <w:rPr>
          <w:rFonts w:ascii="Arial" w:hAnsi="Arial" w:cs="Arial"/>
          <w:color w:val="000000"/>
          <w:sz w:val="18"/>
          <w:szCs w:val="18"/>
        </w:rPr>
        <w:t>, продуктивная, познавательно-исследовательская, коммуникативная и т.д.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Для формирования математических представлений имеются демонстрационные и раздаточные материалы для обучения счету, количеству, развитию представлений (схемы, плакаты), временных представлений (часы, календари) и пр.</w:t>
      </w:r>
    </w:p>
    <w:p w:rsidR="003A5500" w:rsidRDefault="003A5500" w:rsidP="003A5500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Для конструктивной деятельности: крупный (напольный) и мелкий (настольный) строительные материалы, деревянные, пластмассовые, конструкторы: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«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Лего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>», металлические, деревянные и пр.</w:t>
      </w:r>
    </w:p>
    <w:p w:rsidR="00F22449" w:rsidRDefault="00F22449" w:rsidP="00F22449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 xml:space="preserve">Для развития речи и речевого общения: наборы книг, картин, развивающие игры, схемы для составления рассказов,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фланелеграф</w:t>
      </w:r>
      <w:proofErr w:type="spellEnd"/>
      <w:r>
        <w:rPr>
          <w:rFonts w:ascii="Arial" w:hAnsi="Arial" w:cs="Arial"/>
          <w:color w:val="000000"/>
          <w:sz w:val="18"/>
          <w:szCs w:val="18"/>
        </w:rPr>
        <w:t>, ширма, разнообразные виды  кукольного театра, аудио- и видеоаппаратура, энциклопедии и пр.</w:t>
      </w:r>
    </w:p>
    <w:p w:rsidR="00F22449" w:rsidRDefault="00F22449" w:rsidP="00F22449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Для  развития игровой деятельности: наборы мягкой мебели, игры и игрушки для сюжетно-ролевых игр (с учетом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гендерного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подхода):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(«Кухня», «Столовая», «Больница», «Магазин» и др.), для подвижных игр (маски, дополнительный материал), дидактических игр.</w:t>
      </w:r>
      <w:proofErr w:type="gramEnd"/>
    </w:p>
    <w:p w:rsidR="00F22449" w:rsidRDefault="00F22449" w:rsidP="00F22449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Для познавательной деятельности в группах созданы исследовательские уголки, где имеются дидактические пособия и игры, познавательная литература, энциклопедии, карты, схемы.</w:t>
      </w:r>
    </w:p>
    <w:p w:rsidR="00F22449" w:rsidRDefault="00F22449" w:rsidP="00F22449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Для физического развития  в группах оборудованы физкультурно-оздоровительный центры (спортивные уголки в группах)</w:t>
      </w:r>
      <w:proofErr w:type="gramStart"/>
      <w:r>
        <w:rPr>
          <w:rFonts w:ascii="Arial" w:hAnsi="Arial" w:cs="Arial"/>
          <w:color w:val="000000"/>
          <w:sz w:val="18"/>
          <w:szCs w:val="18"/>
        </w:rPr>
        <w:t xml:space="preserve"> ,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в которых имеются: массажные коврики для стоп, ребристые дорожки,  обручи, мячи,  скакалки, кегли,  маски и атрибуты для подвижных игр. Все материалы соответствуют экологическим и гигиеническим требованиям.</w:t>
      </w:r>
    </w:p>
    <w:p w:rsidR="00F22449" w:rsidRDefault="00F22449" w:rsidP="00F22449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Игровые площадки оснащены песочницами, столиками для игр и занятий; растут  деревья, цветущие кустарники, разбиты цветники.</w:t>
      </w:r>
    </w:p>
    <w:p w:rsidR="00F22449" w:rsidRDefault="00F22449" w:rsidP="00F22449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Коллектив ежегодно облагораживает игровые площадки, пополняя новыми постройками и спортивными сооружениями, малыми архитектурными формами  для активной физической деятельности воспитанников.</w:t>
      </w:r>
    </w:p>
    <w:p w:rsidR="00F22449" w:rsidRDefault="00F22449" w:rsidP="00F22449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Материалы и пособия, предназначенные детям, доступны и функциональны, обеспечивают необходимые условия для самореализации,  в том числе для инвалидов и лиц с ОВЗ небольшой и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среденей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степени тяжести, доступны и функциональны, обеспечивают необходимые условия для самореализации.</w:t>
      </w:r>
    </w:p>
    <w:p w:rsidR="001315F8" w:rsidRDefault="001315F8" w:rsidP="003A5500">
      <w:pPr>
        <w:shd w:val="clear" w:color="auto" w:fill="FFFFFF" w:themeFill="background1"/>
      </w:pPr>
    </w:p>
    <w:sectPr w:rsidR="001315F8" w:rsidSect="00131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5500"/>
    <w:rsid w:val="001315F8"/>
    <w:rsid w:val="003A5500"/>
    <w:rsid w:val="00C947B0"/>
    <w:rsid w:val="00F224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F8"/>
  </w:style>
  <w:style w:type="paragraph" w:styleId="1">
    <w:name w:val="heading 1"/>
    <w:basedOn w:val="a"/>
    <w:link w:val="10"/>
    <w:uiPriority w:val="9"/>
    <w:qFormat/>
    <w:rsid w:val="003A5500"/>
    <w:pPr>
      <w:spacing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A550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A5500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647</Words>
  <Characters>3688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2022-01-31T06:15:00Z</dcterms:created>
  <dcterms:modified xsi:type="dcterms:W3CDTF">2022-01-31T06:18:00Z</dcterms:modified>
</cp:coreProperties>
</file>